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PARECER DE HABILITAÇÃO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Processo Administrativo nº 07/2025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Inexigibilidade nº 01/2025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Objeto: </w:t>
      </w:r>
      <w:r w:rsidDel="00000000" w:rsidR="00000000" w:rsidRPr="00000000">
        <w:rPr>
          <w:rtl w:val="0"/>
        </w:rPr>
        <w:t xml:space="preserve">REGISTRO DE PREÇOS VISANDO PRESTAÇÃO DE SERVIÇOS ESPECIALIZADOS DE CONSULTORIA E ASSESSORIA ADMINISTRATIVA COM SOLUÇÃO INFORMATIZADA TENDO POR FINALIDADE O LEVANTAMENTO E A RECUPERAÇÃO DE CRÉDITOS DE TRIBUTOS DOS MUNICÍPIOS CONSORCIADOS.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 – RELATÓRIO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20"/>
        <w:jc w:val="both"/>
        <w:rPr/>
      </w:pPr>
      <w:r w:rsidDel="00000000" w:rsidR="00000000" w:rsidRPr="00000000">
        <w:rPr>
          <w:rtl w:val="0"/>
        </w:rPr>
        <w:t xml:space="preserve">Nos termos do art. 72, inc. V, da Lei Federal nº 14.133/2021, é exigido, mesmo em caso de inexigibilidade, a comprovação de que o contratado preencha os requisitos de habilitação e qualificação mínima necessária, senão vejamos: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268" w:firstLine="0"/>
        <w:jc w:val="both"/>
        <w:rPr/>
      </w:pPr>
      <w:r w:rsidDel="00000000" w:rsidR="00000000" w:rsidRPr="00000000">
        <w:rPr>
          <w:rtl w:val="0"/>
        </w:rPr>
        <w:t xml:space="preserve">“Art. 72. O processo de contratação direta, que compreende os casos de inexigibilidade e de dispensa de licitação, deverá ser instruído com os seguintes documentos: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268" w:firstLine="0"/>
        <w:jc w:val="both"/>
        <w:rPr/>
      </w:pPr>
      <w:r w:rsidDel="00000000" w:rsidR="00000000" w:rsidRPr="00000000">
        <w:rPr>
          <w:rtl w:val="0"/>
        </w:rPr>
        <w:t xml:space="preserve">[…]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268" w:firstLine="0"/>
        <w:jc w:val="both"/>
        <w:rPr/>
      </w:pPr>
      <w:r w:rsidDel="00000000" w:rsidR="00000000" w:rsidRPr="00000000">
        <w:rPr>
          <w:rtl w:val="0"/>
        </w:rPr>
        <w:t xml:space="preserve">V - comprovação de que o contratado preenche os requisitos de habilitação e qualificação mínima necessária;”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20"/>
        <w:jc w:val="both"/>
        <w:rPr/>
      </w:pPr>
      <w:r w:rsidDel="00000000" w:rsidR="00000000" w:rsidRPr="00000000">
        <w:rPr>
          <w:rtl w:val="0"/>
        </w:rPr>
        <w:t xml:space="preserve">Nesse contexto, mesmo quando não há competição, a Administração deve demonstrar, de forma documentada, que a empresa escolhida está apta a contratar, possui idoneidade jurídica, regularidade fiscal, capacidade econômica e, sobretudo, a qualificação técnica compatível com o objeto.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2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20"/>
        <w:jc w:val="both"/>
        <w:rPr/>
      </w:pPr>
      <w:r w:rsidDel="00000000" w:rsidR="00000000" w:rsidRPr="00000000">
        <w:rPr>
          <w:rtl w:val="0"/>
        </w:rPr>
        <w:t xml:space="preserve">Diante disso, o Termo de Referência do Processo Administrativo ora discutido, prevê do item 9.3 ao item 9.35 as exigências necessárias à habilitação.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2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20"/>
        <w:jc w:val="both"/>
        <w:rPr/>
      </w:pPr>
      <w:r w:rsidDel="00000000" w:rsidR="00000000" w:rsidRPr="00000000">
        <w:rPr>
          <w:rtl w:val="0"/>
        </w:rPr>
        <w:t xml:space="preserve">Deste modo, passa-se à análise dos documentos de habilitação encaminhados pela empresa.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2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II – DA ANÁLISE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ab/>
        <w:t xml:space="preserve">II.I – Da Habilitação jurídica</w:t>
        <w:tab/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20"/>
        <w:jc w:val="both"/>
        <w:rPr/>
      </w:pPr>
      <w:r w:rsidDel="00000000" w:rsidR="00000000" w:rsidRPr="00000000">
        <w:rPr>
          <w:rtl w:val="0"/>
        </w:rPr>
        <w:t xml:space="preserve">Os itens 9.4 – 9.13, do Termo de Referência apontam os documentos relativos à habilitação jurídica, consistindo na comprovação da existência legal e da representação válida do interessado, mediante apresentação dos documentos constitutivos correspondentes à sua natureza jurídica. 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  <w:tab/>
        <w:t xml:space="preserve">Nesse liame, a empresa META TRIBUTARIA apresentou: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Social – Ato constitutivo devidamente registrado, que, na cláusula quarta, parágrafo único, determina como titular empresária a Sra. DJULLY STEFFANY FERREIRA, detentora da totalidade das quotas de capital;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Documento oficial de identificação válido nacionalmente da titular empresária, qual seja, DJULLY STEFFANE FERREIRA;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360"/>
        <w:jc w:val="both"/>
        <w:rPr/>
      </w:pPr>
      <w:r w:rsidDel="00000000" w:rsidR="00000000" w:rsidRPr="00000000">
        <w:rPr>
          <w:rtl w:val="0"/>
        </w:rPr>
        <w:t xml:space="preserve">Portanto, a apresentação dos documentos acima alineados cumpre, satisfatóriamente, o que dispõe o Termo de Referência quanto a habilitação jurídica.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0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II.II – Da habilitação fiscal, social e trabalhista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0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09"/>
        <w:jc w:val="both"/>
        <w:rPr/>
      </w:pPr>
      <w:r w:rsidDel="00000000" w:rsidR="00000000" w:rsidRPr="00000000">
        <w:rPr>
          <w:rtl w:val="0"/>
        </w:rPr>
        <w:t xml:space="preserve">Os itens 9.14 – 9.21, discorrem sobre a habilitação fiscal, social e trabalhista, para a comprovação de que o contratado mantém situação regular perante o Estado, demonstrando conformidade tributária, previdenciária trabalhista e cadastral.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0"/>
        <w:jc w:val="both"/>
        <w:rPr/>
      </w:pPr>
      <w:r w:rsidDel="00000000" w:rsidR="00000000" w:rsidRPr="00000000">
        <w:rPr>
          <w:rtl w:val="0"/>
        </w:rPr>
        <w:tab/>
        <w:t xml:space="preserve">Deste modo, a empresa apresentou: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Cartão CNPJ;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CND Estadual;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CND Municipal; e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CNDT.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360"/>
        <w:jc w:val="both"/>
        <w:rPr/>
      </w:pPr>
      <w:r w:rsidDel="00000000" w:rsidR="00000000" w:rsidRPr="00000000">
        <w:rPr>
          <w:rtl w:val="0"/>
        </w:rPr>
        <w:t xml:space="preserve">Ressalta-se que no ato do encaminhamento da proposta, não foi apresentada a comprovação de regularidade perante a Fazenda Nacional, bem como as Certidões de Regularidade do FGTS (CRF/CEF) e Certidão Municipal encontram-se inválidas na data deste parecer, o que impede, por ora, a plena comprovação da habilitação exigida pelo art. 62, inciso III, da Lei Federal nº 14.133/2021.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36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360"/>
        <w:jc w:val="both"/>
        <w:rPr/>
      </w:pPr>
      <w:r w:rsidDel="00000000" w:rsidR="00000000" w:rsidRPr="00000000">
        <w:rPr>
          <w:rtl w:val="0"/>
        </w:rPr>
        <w:t xml:space="preserve">No entanto, em observância ao princípio da verdade material, disposto no art. 5º do Decreto nº 9.830/2019, e ao dever de busca objetiva da realidade dos fatos no âmbito do processo administrativo, esta unidade procedeu, na presente data, à consulta direta às bases oficiais da Secretaria da Receita Federal do Brasil/PGFN e do FGTS, constatando que, neste momento, ambas as certidões encontram-se regulares.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36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360"/>
        <w:jc w:val="both"/>
        <w:rPr/>
      </w:pPr>
      <w:r w:rsidDel="00000000" w:rsidR="00000000" w:rsidRPr="00000000">
        <w:rPr>
          <w:rtl w:val="0"/>
        </w:rPr>
        <w:t xml:space="preserve">Todavia, tal verificação não supre nem substitui a obrigação legal da empresa de apresentar formalmente a documentação exigida, nos termos dos arts. 62, III, 63 e 64 da Lei Federal nº 14.133/2021, razão pela qual deverá a proponente, no prazo de 5 (cinco) dias úteis, apresentar as certidões atualizadas e válidas, sob pena de inabilitação.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36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360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III.III – Da Habilitação Ecnômico-Financeira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  <w:tab/>
        <w:t xml:space="preserve">Passado à análise da documentação solicitada nos itens 9.22 e 9.23, que referem-se à qualificação econômico-financeira, que visa comprovar a capacidade econômico-patrimonial da empresa para suportar os riscos financeiros do contrato e garantir que ela possui solidez mínima para executar as obrigações assumidas, evitando inadimplementos, paralisações e prejuízos à Administração, a empresa apresentou a cetidão negativa de falência, corroborando fielmente com o que se pede no Termo de Referência.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bCs w:val="1"/>
          <w:rtl w:val="0"/>
        </w:rPr>
        <w:t xml:space="preserve">III.III – Da Habilitação Técnica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b w:val="1"/>
          <w:bCs w:val="1"/>
          <w:rtl w:val="0"/>
        </w:rPr>
        <w:tab/>
      </w:r>
      <w:r w:rsidDel="00000000" w:rsidR="00000000" w:rsidRPr="00000000">
        <w:rPr>
          <w:rtl w:val="0"/>
        </w:rPr>
        <w:t xml:space="preserve">Este tópico está regido integralmente pelos itens 9.24 e 9.24.1 do Termo de Referência do Processo Administrativo ora discutido, os quais solicitam: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268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“9.24.</w:t>
        <w:tab/>
        <w:t xml:space="preserve">Declaração de que o fornecedor tomou conhecimento de todas as informações para o cumprimento das obrigações objeto da contratação. 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268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9.24.1</w:t>
        <w:tab/>
        <w:t xml:space="preserve">Essa declaração poderá ser substituída por declaração formal assinada pelo responsável técnico do interessado acerca do conhecimento pleno das condições e peculiaridades da contratação.”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  <w:tab/>
        <w:t xml:space="preserve">Nesse sentido, verifica-se que nenhuma das declarações previstas foi apresentada pela proponente no ato da entrega dos documentos. 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20"/>
        <w:jc w:val="both"/>
        <w:rPr/>
      </w:pPr>
      <w:r w:rsidDel="00000000" w:rsidR="00000000" w:rsidRPr="00000000">
        <w:rPr>
          <w:rtl w:val="0"/>
        </w:rPr>
        <w:t xml:space="preserve">Deste modo, à luz do princípio do formalismo moderado e do disposto no art. 64, § 1º, da Lei Federal nº 14.133/2021, que permite a promoção de diligências para saneamento de falhas formais e complementação de documentos, desde que não impliquem substituição de documentos essenciais ou alteração da proposta, concede-se o prazo de 5 (cinco) dias úteis para que a empresa regularize a pendência, apresentando a declaração exigida nos termos do Termo de Referência. 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2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20"/>
        <w:jc w:val="both"/>
        <w:rPr/>
      </w:pPr>
      <w:r w:rsidDel="00000000" w:rsidR="00000000" w:rsidRPr="00000000">
        <w:rPr>
          <w:rtl w:val="0"/>
        </w:rPr>
        <w:t xml:space="preserve">O não atendimento no prazo assinalado ensejará a inabilitação da proponente, conforme previsão legal e respeito ao interesse público primário.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36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360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II.IV – Da Qualificação Técnico-Operacional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360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360"/>
        <w:jc w:val="both"/>
        <w:rPr/>
      </w:pPr>
      <w:r w:rsidDel="00000000" w:rsidR="00000000" w:rsidRPr="00000000">
        <w:rPr>
          <w:rtl w:val="0"/>
        </w:rPr>
        <w:t xml:space="preserve">No presente tópico, o qual encontra-se as disposições nos itens 9.25 ao 9.27 do Termo de Referência,  busca-se a comprovação de experiência anterior na execução de serviços semelhantes em complexidade, porte e natureza ao objeto da contratação.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36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360"/>
        <w:jc w:val="both"/>
        <w:rPr/>
      </w:pPr>
      <w:r w:rsidDel="00000000" w:rsidR="00000000" w:rsidRPr="00000000">
        <w:rPr>
          <w:rtl w:val="0"/>
        </w:rPr>
        <w:t xml:space="preserve">Nesse contexto, a empresa apresentou atestados de capacidade ténica emitidos por municípios, comprovando a satisfação do objeto contratado.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36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360"/>
        <w:jc w:val="both"/>
        <w:rPr/>
      </w:pPr>
      <w:r w:rsidDel="00000000" w:rsidR="00000000" w:rsidRPr="00000000">
        <w:rPr>
          <w:rtl w:val="0"/>
        </w:rPr>
        <w:t xml:space="preserve">Deste modo, conclui-se que o presente tópico foi atendido conforme exigido no Termo de Referência.</w:t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36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360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II.V – Da Qualificação Técnico-Profissional</w:t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360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360"/>
        <w:jc w:val="both"/>
        <w:rPr/>
      </w:pPr>
      <w:r w:rsidDel="00000000" w:rsidR="00000000" w:rsidRPr="00000000">
        <w:rPr>
          <w:rtl w:val="0"/>
        </w:rPr>
        <w:t xml:space="preserve">O presente tópico pode ser localizado nos itens 9.28 ao 9.30 do Termo de Referência do Processo Administrativo em referência, visando a comprovação de que a empresa tenha profissionais legalmente habilitados e com experência comprovada para desempenhar as atividades previstas no contrato.</w:t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36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360"/>
        <w:jc w:val="both"/>
        <w:rPr/>
      </w:pPr>
      <w:r w:rsidDel="00000000" w:rsidR="00000000" w:rsidRPr="00000000">
        <w:rPr>
          <w:rtl w:val="0"/>
        </w:rPr>
        <w:t xml:space="preserve">Diante disso, verifica-se que a empresa atendeu de forma satisfatória às exigências do Termo de Referência, comprovando que os profissionais indicados possuem capacidade técnica compatível com as atribuições a serem desempenhadas no âmbito da contratação. </w:t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36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360"/>
        <w:jc w:val="both"/>
        <w:rPr/>
      </w:pPr>
      <w:r w:rsidDel="00000000" w:rsidR="00000000" w:rsidRPr="00000000">
        <w:rPr>
          <w:rtl w:val="0"/>
        </w:rPr>
        <w:t xml:space="preserve">Foram apresentados atestados de capacidade técnica, bem como comprovações de regular registro nos respectivos conselhos profissionais (OAB, CRC e demais órgãos competentes), evidenciando que o quadro técnico disponibilizado detém formação, experiência e habilitação adequadas para a execução das atividades de consultoria, auditoria tributária-previdenciária, elaboração de análises e condução dos procedimentos administrativos e técnicos inerentes ao objeto contratual. </w:t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36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360"/>
        <w:jc w:val="both"/>
        <w:rPr/>
      </w:pPr>
      <w:r w:rsidDel="00000000" w:rsidR="00000000" w:rsidRPr="00000000">
        <w:rPr>
          <w:rtl w:val="0"/>
        </w:rPr>
        <w:t xml:space="preserve">Dessa forma, restou demonstrado que os profissionais indicados possuem qualificação específica e experiência comprovada, atendendo plenamente às exigências do item do Termo de Referência.</w:t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36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360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III – CONCLUSÃO</w:t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283.00000000000006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2ggew5cvqaa6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Diante de todo o exposto, após a análise minuciosa da documentação apresentada pela empresa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META TRIBUTÁRIA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conclui-se que, quanto aos requisitos de habilitação jurídica, qualificação econômico-financeira e qualificação técnico-profissional, a proponente atendeu de forma satisfatória às exigências constantes do Termo de Referência do processo, demonstrando possuir regular constituição empresarial, capacidade econômico-patrimonial mínima e quadro técnico qualificado e habilitado para execução do objeto.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283.00000000000006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283.00000000000006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tocante à habilitação fiscal, social e trabalhista, embora a empresa não tenha apresentado, no ato do encaminhamento da proposta, a Certidão de Regularidade da Fazenda Nacional e tenha juntado Certidão do FGTS </w:t>
      </w:r>
      <w:r w:rsidDel="00000000" w:rsidR="00000000" w:rsidRPr="00000000">
        <w:rPr>
          <w:rtl w:val="0"/>
        </w:rPr>
        <w:t xml:space="preserve">e Municipal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 validade expirada, verificou-se, mediante consulta direta realizada por esta unidade, que ambas constam como regulares nas bases oficiais.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283.00000000000006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283.00000000000006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Não obstante, nos termos dos arts. 62, III, 63 e 64 da Lei Federal nº 14.133/2021, tais consultas não suprem a obrigação da empresa de apresentar formalmente os documentos válidos, razão pela qual deve a proponente promover a regularização documental no prazo de 5 (cinco) dias úteis, sob pena de inabilitação.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283.00000000000006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283.00000000000006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Quanto à habilitação técnica, verifica-se pendência relativa à ausência da declaração prevista nos itens 9.24 e 9.24.1 do Termo de Referência, referente ao conhecimento pleno das condições e peculiaridades da contratação. Em conformidade com o art. 64, §1º, da Lei Federal nº 14.133/2021, concede-se igual prazo de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 (cinco) dias úteis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para apresentação do referido documento, sob pena de inabilitação.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283.00000000000006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283.00000000000006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que se refere à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qualificação técnico-operacional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observa-se que a empresa apresentou atestados de capacidade técnica emitidos por entes públicos, demonstrando experiência compatível com a natureza, finalidade e complexidade do objeto contratual, atendendo plenamente às exigências estabelecidas no Termo de Referência.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283.00000000000006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283.00000000000006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Assim, não havendo, por ora, impedimentos materiais ao prosseguimento do feito, mas persistindo pendências formais sanáveis, este parecer manifesta-se pela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habilitação condicional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 empresa META TRIBUTÁRIA, condicionada à regularização das inconsistências apontadas, no prazo legal assinalado, para plena conformidade com os requisitos do art. 72, V, da Lei Federal nº 14.133/2021 e das cláusulas de habilitação previstas no Termo de Referência.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283.00000000000006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283.00000000000006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Cumpridas as exigências complementares, opinamos pelo prosseguimento regular do procedimento administrativo. Não sanadas no prazo estipulado, deverá ser declarada a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inabilitação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 empresa, em observância ao interesse público, à legalidade e à segurança jurídica do processo.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283.00000000000006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283.00000000000006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283.00000000000006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283.00000000000006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283.00000000000006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Divinópolis/MG, </w:t>
      </w:r>
      <w:r w:rsidDel="00000000" w:rsidR="00000000" w:rsidRPr="00000000">
        <w:rPr>
          <w:rtl w:val="0"/>
        </w:rPr>
        <w:t xml:space="preserve">27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 </w:t>
      </w:r>
      <w:r w:rsidDel="00000000" w:rsidR="00000000" w:rsidRPr="00000000">
        <w:rPr>
          <w:rtl w:val="0"/>
        </w:rPr>
        <w:t xml:space="preserve">novembro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 2025.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283.00000000000006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283.00000000000006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283.00000000000006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283.00000000000006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283.00000000000006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Warley França Santa Bárbara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283.00000000000006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Comissão de Contratação</w:t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134" w:left="1134" w:right="1134" w:header="709" w:footer="85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Fonts w:ascii="Arial" w:cs="Arial" w:eastAsia="Arial" w:hAnsi="Arial"/>
        <w:b w:val="1"/>
        <w:bCs w:val="1"/>
        <w:color w:val="1c2e58"/>
        <w:sz w:val="18"/>
        <w:szCs w:val="18"/>
        <w:rtl w:val="0"/>
      </w:rPr>
      <w:t xml:space="preserve">Consórcio Intermunicipal Multifinalitário do Vale do Itapecerica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Rua Irmã Marta Morato, 241 • Bom Pastor • 5.500-140 • Divinópolis • MG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Arial" w:cs="Arial" w:eastAsia="Arial" w:hAnsi="Arial"/>
        <w:color w:val="1c2e58"/>
        <w:sz w:val="18"/>
        <w:szCs w:val="18"/>
      </w:rPr>
    </w:pP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+ 55 (37) 3213-8304 • consorciocimmvi@gmail.com</w:t>
    </w:r>
  </w:p>
  <w:p w:rsidR="00000000" w:rsidDel="00000000" w:rsidP="00000000" w:rsidRDefault="00000000" w:rsidRPr="00000000" w14:paraId="0000007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jc w:val="right"/>
      <w:rPr>
        <w:rFonts w:ascii="Arial" w:cs="Arial" w:eastAsia="Arial" w:hAnsi="Arial"/>
        <w:color w:val="1c2e58"/>
        <w:sz w:val="18"/>
        <w:szCs w:val="18"/>
      </w:rPr>
    </w:pP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1c2e58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1c2e58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Fonts w:ascii="Helvetica Neue" w:cs="Helvetica Neue" w:eastAsia="Helvetica Neue" w:hAnsi="Helvetica Neue"/>
        <w:color w:val="000000"/>
      </w:rPr>
      <w:drawing>
        <wp:inline distB="0" distT="0" distL="0" distR="0">
          <wp:extent cx="2158930" cy="637962"/>
          <wp:effectExtent b="0" l="0" r="0" t="0"/>
          <wp:docPr descr="Simgle 1@2x-8.png" id="1073741827" name="image1.png"/>
          <a:graphic>
            <a:graphicData uri="http://schemas.openxmlformats.org/drawingml/2006/picture">
              <pic:pic>
                <pic:nvPicPr>
                  <pic:cNvPr descr="Simgle 1@2x-8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58930" cy="63796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Hyperlink">
    <w:name w:val="Hyperlink"/>
    <w:rPr>
      <w:u w:val="single"/>
    </w:rPr>
  </w:style>
  <w:style w:type="table" w:styleId="TableNormal0" w:customStyle="1">
    <w:name w:val="Table Normal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abealhoeRodap" w:customStyle="1">
    <w:name w:val="Cabeçalho e Rodapé"/>
    <w:pPr>
      <w:tabs>
        <w:tab w:val="right" w:pos="9020"/>
      </w:tabs>
    </w:pPr>
    <w:rPr>
      <w:rFonts w:ascii="Helvetica Neue" w:cs="Arial Unicode MS" w:eastAsia="Arial Unicode MS" w:hAnsi="Helvetica Neue"/>
      <w:color w:val="000000"/>
      <w14:textOutline w14:cap="flat" w14:cmpd="sng" w14:algn="ctr">
        <w14:noFill/>
        <w14:prstDash w14:val="solid"/>
        <w14:bevel/>
      </w14:textOutline>
    </w:rPr>
  </w:style>
  <w:style w:type="paragraph" w:styleId="Corpo" w:customStyle="1">
    <w:name w:val="Corpo"/>
    <w:rPr>
      <w:rFonts w:ascii="Helvetica Neue" w:cs="Helvetica Neue" w:eastAsia="Helvetica Neue" w:hAnsi="Helvetica Neue"/>
      <w:color w:val="000000"/>
      <w:sz w:val="22"/>
      <w:szCs w:val="22"/>
      <w14:textOutline w14:cap="flat" w14:cmpd="sng" w14:algn="ctr">
        <w14:noFill/>
        <w14:prstDash w14:val="solid"/>
        <w14:bevel/>
      </w14:textOutline>
    </w:rPr>
  </w:style>
  <w:style w:type="paragraph" w:styleId="PargrafodaLista">
    <w:name w:val="List Paragraph"/>
    <w:basedOn w:val="Normal"/>
    <w:uiPriority w:val="34"/>
    <w:qFormat w:val="1"/>
    <w:rsid w:val="00A441AB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9841D3"/>
    <w:pPr>
      <w:spacing w:after="100" w:afterAutospacing="1" w:before="100" w:beforeAutospacing="1"/>
    </w:pPr>
    <w:rPr>
      <w:lang w:val="pt-BR"/>
    </w:rPr>
  </w:style>
  <w:style w:type="character" w:styleId="Forte">
    <w:name w:val="Strong"/>
    <w:basedOn w:val="Fontepargpadro"/>
    <w:uiPriority w:val="22"/>
    <w:qFormat w:val="1"/>
    <w:rsid w:val="009841D3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WbEeinBbzAKC/ULOnyItazoVew==">CgMxLjAyDmguMmdnZXc1Y3ZxYWE2OAByITFhUjFBYk4xSGtfTHo2MFBOb0JMTFV3ME1walRialJVNA==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2025-11-14T14:27:00Z</dcterms:created>
</cp:coreProperties>
</file>